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2173F" w14:textId="3A55B7FE" w:rsidR="006D01C1" w:rsidRPr="006D01C1" w:rsidRDefault="006D01C1" w:rsidP="00245A2D">
      <w:pPr>
        <w:spacing w:after="120" w:line="240" w:lineRule="auto"/>
        <w:jc w:val="center"/>
        <w:rPr>
          <w:b/>
          <w:bCs/>
          <w:caps/>
          <w:szCs w:val="22"/>
        </w:rPr>
      </w:pPr>
      <w:r w:rsidRPr="006D01C1">
        <w:rPr>
          <w:b/>
          <w:bCs/>
          <w:caps/>
          <w:szCs w:val="22"/>
        </w:rPr>
        <w:t>Diskusi Publik</w:t>
      </w:r>
    </w:p>
    <w:p w14:paraId="2AA4CCFE" w14:textId="54355D8B" w:rsidR="006D01C1" w:rsidRPr="00BF4971" w:rsidRDefault="004E0973" w:rsidP="00245A2D">
      <w:pPr>
        <w:spacing w:after="120" w:line="240" w:lineRule="auto"/>
        <w:jc w:val="center"/>
        <w:rPr>
          <w:b/>
          <w:bCs/>
          <w:sz w:val="28"/>
          <w:szCs w:val="28"/>
        </w:rPr>
      </w:pPr>
      <w:r w:rsidRPr="000D4F12">
        <w:rPr>
          <w:b/>
          <w:bCs/>
          <w:sz w:val="28"/>
          <w:szCs w:val="28"/>
        </w:rPr>
        <w:t xml:space="preserve">Menjamin Keterbukaan </w:t>
      </w:r>
      <w:r w:rsidR="007146A1">
        <w:rPr>
          <w:b/>
          <w:bCs/>
          <w:sz w:val="28"/>
          <w:szCs w:val="28"/>
        </w:rPr>
        <w:t>Informasi</w:t>
      </w:r>
      <w:r w:rsidRPr="000D4F12">
        <w:rPr>
          <w:b/>
          <w:bCs/>
          <w:sz w:val="28"/>
          <w:szCs w:val="28"/>
        </w:rPr>
        <w:t xml:space="preserve"> dalam Pilkada 2024</w:t>
      </w:r>
    </w:p>
    <w:p w14:paraId="34C05C62" w14:textId="153B9A8D" w:rsidR="000D4F12" w:rsidRPr="000D4F12" w:rsidRDefault="000D4F12" w:rsidP="00245A2D">
      <w:pPr>
        <w:spacing w:after="120" w:line="240" w:lineRule="auto"/>
        <w:jc w:val="both"/>
        <w:rPr>
          <w:b/>
          <w:bCs/>
        </w:rPr>
      </w:pPr>
      <w:r w:rsidRPr="000D4F12">
        <w:rPr>
          <w:b/>
          <w:bCs/>
        </w:rPr>
        <w:t>Pendahuluan</w:t>
      </w:r>
    </w:p>
    <w:p w14:paraId="246AF4A2" w14:textId="3A67A20B" w:rsidR="004E0973" w:rsidRDefault="004E0973" w:rsidP="00245A2D">
      <w:pPr>
        <w:spacing w:after="120" w:line="240" w:lineRule="auto"/>
        <w:jc w:val="both"/>
      </w:pPr>
      <w:r>
        <w:t>Pilkada 2024 diselenggarakan serentak hampir di</w:t>
      </w:r>
      <w:r w:rsidR="005627A2">
        <w:t xml:space="preserve"> </w:t>
      </w:r>
      <w:r>
        <w:t xml:space="preserve">seluruh daerah di Indonesia. </w:t>
      </w:r>
      <w:r w:rsidR="005627A2" w:rsidRPr="005627A2">
        <w:t xml:space="preserve">37 Provinsi, 93 Kota, </w:t>
      </w:r>
      <w:r w:rsidR="005627A2">
        <w:t xml:space="preserve">dan </w:t>
      </w:r>
      <w:r w:rsidR="005627A2" w:rsidRPr="005627A2">
        <w:t>415 Kabupaten</w:t>
      </w:r>
      <w:r w:rsidR="005627A2">
        <w:t xml:space="preserve"> menyelenggarakan pemilihan gubernur, walikota, dan bupati. Ini kali pertama transisi pemerintahan daerah diselenggarakan serentak pada satu tahun yang sama dengan pemilu nasional.</w:t>
      </w:r>
    </w:p>
    <w:p w14:paraId="16CBCA9A" w14:textId="7C965B0E" w:rsidR="006D01C1" w:rsidRDefault="005627A2" w:rsidP="00245A2D">
      <w:pPr>
        <w:spacing w:after="120" w:line="240" w:lineRule="auto"/>
        <w:jc w:val="both"/>
      </w:pPr>
      <w:r>
        <w:t xml:space="preserve">Kualitas penyelenggaraan pesta demokrasi lokal tersebut tentu saja ditentukan oleh keterbukaan proses dan hasilnya. </w:t>
      </w:r>
      <w:r w:rsidR="00F254C7">
        <w:t>Prinsip open government menekankan data dan informasi publik yang dikelola pemerintah harus bersifat akurat, mudah diakses, dan dapat dipertanggungjawabkan secara hukum</w:t>
      </w:r>
      <w:r w:rsidR="000A526A">
        <w:t xml:space="preserve"> (akuntabel</w:t>
      </w:r>
      <w:r w:rsidR="00F254C7">
        <w:t xml:space="preserve">). </w:t>
      </w:r>
      <w:r w:rsidR="006D01C1">
        <w:t xml:space="preserve">Dalam pengalamannya penerapan prinsip open government ini mendorong partisipasi masyarakat yang positif secara kuantitas dan kualitas. Bahkan, kerjasama Komisi Pemilihan Umum dan organisasi masyarakat sipil pada pemilu sebelumnya pernah diakui komunitas open government global sebagai </w:t>
      </w:r>
      <w:r w:rsidR="006D01C1" w:rsidRPr="006D01C1">
        <w:rPr>
          <w:i/>
          <w:iCs/>
        </w:rPr>
        <w:t>best practices</w:t>
      </w:r>
      <w:r w:rsidR="006D01C1">
        <w:t xml:space="preserve"> yang penting ditiru negara lain dan dilanjutkan.</w:t>
      </w:r>
    </w:p>
    <w:p w14:paraId="4B0ACF1F" w14:textId="232826C6" w:rsidR="00F254C7" w:rsidRDefault="00F254C7" w:rsidP="00245A2D">
      <w:pPr>
        <w:spacing w:after="120" w:line="240" w:lineRule="auto"/>
        <w:jc w:val="both"/>
      </w:pPr>
      <w:r>
        <w:t xml:space="preserve">Prinsip ini mengikat pada semua kementerian/lembaga terkait penyelenggaraan Pilkada 2024. Keterbukaan pemerintah dalam Pilkada 2024 pun menyertakan dasar hukum yang kuat. Pasal 10, 11, 13, dan 27 UU </w:t>
      </w:r>
      <w:r w:rsidR="000A526A">
        <w:t xml:space="preserve">1/2015 jo 8/2015 jo 10/2016 tentang </w:t>
      </w:r>
      <w:r>
        <w:t xml:space="preserve">Pilkada mengatur tentang hak setiap warga negara untuk memperoleh informasi yang benar, jelas, dan tepat waktu tentang tahapan, proses, dan hasil Pilkada. </w:t>
      </w:r>
      <w:r w:rsidR="000A526A">
        <w:t xml:space="preserve">Ketentuan rezim hukum pilkada ini sesuai dengan rezim keterbukaan informasi publik dalam Pasal </w:t>
      </w:r>
      <w:r w:rsidR="000A526A" w:rsidRPr="000A526A">
        <w:t xml:space="preserve">4, 6, 7, 8, 9, 10, dan 17 Undang-Undang </w:t>
      </w:r>
      <w:r w:rsidR="000A526A">
        <w:t xml:space="preserve">14/2008 tentang </w:t>
      </w:r>
      <w:r w:rsidR="000A526A" w:rsidRPr="000A526A">
        <w:t xml:space="preserve">Keterbukaan Informasi Publik. </w:t>
      </w:r>
      <w:r w:rsidR="000A526A">
        <w:t xml:space="preserve"> </w:t>
      </w:r>
    </w:p>
    <w:p w14:paraId="6E26123F" w14:textId="77777777" w:rsidR="000D4F12" w:rsidRDefault="000A526A" w:rsidP="00245A2D">
      <w:pPr>
        <w:spacing w:after="120" w:line="240" w:lineRule="auto"/>
        <w:jc w:val="both"/>
      </w:pPr>
      <w:r>
        <w:t xml:space="preserve">Evaluasi Pemilu Nasional 2024 yang sudah diselenggarakan semoga bisa mendapat rekomendasi untuk perbaikan Pilkada 2024. </w:t>
      </w:r>
      <w:r w:rsidR="000D4F12">
        <w:t xml:space="preserve">Kualitas ketersediaan data calon, dana kampanye, laporan kekayaan pejabat, anggaran, alokasi bantuan sosial, dan sebagainya semoga tidak berdampak buruk pada penyelenggaraan pilkada. </w:t>
      </w:r>
      <w:r>
        <w:t xml:space="preserve">Segala data dan informasi publik mengenai tahapan proses dan hasil Pilkada 2024 diharapkan bisa tersedia secara akurat, mudah diakses, dan akuntabel.   </w:t>
      </w:r>
    </w:p>
    <w:p w14:paraId="4C6410D2" w14:textId="56D81342" w:rsidR="000D4F12" w:rsidRDefault="000D4F12" w:rsidP="00245A2D">
      <w:pPr>
        <w:spacing w:after="120" w:line="240" w:lineRule="auto"/>
        <w:jc w:val="both"/>
      </w:pPr>
      <w:r>
        <w:t xml:space="preserve">Dalam konteks tersebut, kesekretariatan Open Government Indonesia akan menyelenggarakan diskusi publik. Isu ini menjadi satu pembahasan yang terkait dengan isu keterbukaan pemerintah lainnya dalam Open Government Week 2024. </w:t>
      </w:r>
    </w:p>
    <w:p w14:paraId="62CBEFFB" w14:textId="77777777" w:rsidR="006D01C1" w:rsidRDefault="006D01C1" w:rsidP="00245A2D">
      <w:pPr>
        <w:spacing w:after="120" w:line="240" w:lineRule="auto"/>
        <w:jc w:val="both"/>
      </w:pPr>
    </w:p>
    <w:p w14:paraId="27581949" w14:textId="50DEFD09" w:rsidR="006D01C1" w:rsidRPr="006D01C1" w:rsidRDefault="006D01C1" w:rsidP="00245A2D">
      <w:pPr>
        <w:spacing w:after="120" w:line="240" w:lineRule="auto"/>
        <w:jc w:val="both"/>
        <w:rPr>
          <w:b/>
          <w:bCs/>
        </w:rPr>
      </w:pPr>
      <w:r w:rsidRPr="006D01C1">
        <w:rPr>
          <w:b/>
          <w:bCs/>
        </w:rPr>
        <w:t>Waktu</w:t>
      </w:r>
      <w:r w:rsidR="00BF4971">
        <w:rPr>
          <w:b/>
          <w:bCs/>
        </w:rPr>
        <w:t xml:space="preserve"> </w:t>
      </w:r>
    </w:p>
    <w:p w14:paraId="1317E362" w14:textId="6868EFAA" w:rsidR="006D01C1" w:rsidRDefault="006D01C1" w:rsidP="00245A2D">
      <w:pPr>
        <w:spacing w:after="120" w:line="240" w:lineRule="auto"/>
        <w:jc w:val="both"/>
      </w:pPr>
      <w:r>
        <w:t>Hari/Tanggal</w:t>
      </w:r>
      <w:r>
        <w:tab/>
        <w:t xml:space="preserve">: </w:t>
      </w:r>
      <w:r w:rsidR="00BF4971">
        <w:t>Rabu/29 Mei 2024</w:t>
      </w:r>
    </w:p>
    <w:p w14:paraId="66B75753" w14:textId="0F46769C" w:rsidR="00BF4971" w:rsidRDefault="00BF4971" w:rsidP="00245A2D">
      <w:pPr>
        <w:spacing w:after="120" w:line="240" w:lineRule="auto"/>
        <w:jc w:val="both"/>
      </w:pPr>
      <w:r>
        <w:t>Jam</w:t>
      </w:r>
      <w:r>
        <w:tab/>
      </w:r>
      <w:r>
        <w:tab/>
        <w:t xml:space="preserve">: </w:t>
      </w:r>
      <w:r w:rsidR="00B93134">
        <w:t>09</w:t>
      </w:r>
      <w:r>
        <w:t>.</w:t>
      </w:r>
      <w:r w:rsidR="00B93134">
        <w:t>3</w:t>
      </w:r>
      <w:r>
        <w:t>0-12.00</w:t>
      </w:r>
    </w:p>
    <w:p w14:paraId="24332E66" w14:textId="77777777" w:rsidR="006D01C1" w:rsidRDefault="006D01C1" w:rsidP="00245A2D">
      <w:pPr>
        <w:spacing w:after="120" w:line="240" w:lineRule="auto"/>
        <w:jc w:val="both"/>
      </w:pPr>
    </w:p>
    <w:p w14:paraId="4E7308B8" w14:textId="28988DF7" w:rsidR="00BF4971" w:rsidRPr="00BF4971" w:rsidRDefault="00BF4971" w:rsidP="00245A2D">
      <w:pPr>
        <w:spacing w:after="120" w:line="240" w:lineRule="auto"/>
        <w:jc w:val="both"/>
        <w:rPr>
          <w:b/>
          <w:bCs/>
        </w:rPr>
      </w:pPr>
      <w:r w:rsidRPr="00BF4971">
        <w:rPr>
          <w:b/>
          <w:bCs/>
        </w:rPr>
        <w:t>Tempat</w:t>
      </w:r>
    </w:p>
    <w:p w14:paraId="11A681FD" w14:textId="44513BBC" w:rsidR="00BF4971" w:rsidRDefault="00BF4971" w:rsidP="00245A2D">
      <w:pPr>
        <w:spacing w:after="120" w:line="240" w:lineRule="auto"/>
        <w:jc w:val="both"/>
      </w:pPr>
      <w:r>
        <w:t>Badan Perencanaan Pembangunan Nasional (Bappenas)</w:t>
      </w:r>
    </w:p>
    <w:p w14:paraId="6E92055E" w14:textId="707499F7" w:rsidR="00BF4971" w:rsidRDefault="00BF4971" w:rsidP="00245A2D">
      <w:pPr>
        <w:spacing w:after="120" w:line="240" w:lineRule="auto"/>
        <w:jc w:val="both"/>
      </w:pPr>
      <w:r w:rsidRPr="00BF4971">
        <w:t>Jalan Taman Suropati No.2 Jakarta 10310</w:t>
      </w:r>
    </w:p>
    <w:p w14:paraId="6DB6D85E" w14:textId="77777777" w:rsidR="00BF4971" w:rsidRDefault="00BF4971" w:rsidP="00245A2D">
      <w:pPr>
        <w:spacing w:after="120" w:line="240" w:lineRule="auto"/>
        <w:jc w:val="both"/>
      </w:pPr>
    </w:p>
    <w:p w14:paraId="589266D0" w14:textId="0AC952E0" w:rsidR="00F254C7" w:rsidRPr="006D01C1" w:rsidRDefault="006D01C1" w:rsidP="00245A2D">
      <w:pPr>
        <w:spacing w:after="120" w:line="240" w:lineRule="auto"/>
        <w:jc w:val="both"/>
        <w:rPr>
          <w:b/>
          <w:bCs/>
        </w:rPr>
      </w:pPr>
      <w:r w:rsidRPr="006D01C1">
        <w:rPr>
          <w:b/>
          <w:bCs/>
        </w:rPr>
        <w:t>Narasumber</w:t>
      </w:r>
    </w:p>
    <w:p w14:paraId="227B7E2D" w14:textId="0C921614" w:rsidR="006D01C1" w:rsidRDefault="006D01C1" w:rsidP="00245A2D">
      <w:pPr>
        <w:pStyle w:val="ListParagraph"/>
        <w:numPr>
          <w:ilvl w:val="0"/>
          <w:numId w:val="1"/>
        </w:numPr>
        <w:spacing w:after="120" w:line="240" w:lineRule="auto"/>
        <w:jc w:val="both"/>
      </w:pPr>
      <w:r>
        <w:t>Komisi Pemilihan Umum (KPU)</w:t>
      </w:r>
    </w:p>
    <w:p w14:paraId="30E43646" w14:textId="72D2148B" w:rsidR="006D01C1" w:rsidRDefault="006D01C1" w:rsidP="00245A2D">
      <w:pPr>
        <w:pStyle w:val="ListParagraph"/>
        <w:numPr>
          <w:ilvl w:val="0"/>
          <w:numId w:val="1"/>
        </w:numPr>
        <w:spacing w:after="120" w:line="240" w:lineRule="auto"/>
        <w:jc w:val="both"/>
      </w:pPr>
      <w:r>
        <w:t>Badan Pengawas Pemilu (Bawaslu)</w:t>
      </w:r>
    </w:p>
    <w:p w14:paraId="4E343AFA" w14:textId="7BE88A95" w:rsidR="006D01C1" w:rsidRDefault="006D01C1" w:rsidP="00245A2D">
      <w:pPr>
        <w:pStyle w:val="ListParagraph"/>
        <w:numPr>
          <w:ilvl w:val="0"/>
          <w:numId w:val="1"/>
        </w:numPr>
        <w:spacing w:after="120" w:line="240" w:lineRule="auto"/>
        <w:jc w:val="both"/>
      </w:pPr>
      <w:r>
        <w:t>Perkumpulan untuk Pemilu dan Demokrasi (Perludem)</w:t>
      </w:r>
    </w:p>
    <w:p w14:paraId="5AFD2E64" w14:textId="421A9194" w:rsidR="006D01C1" w:rsidRDefault="006D01C1" w:rsidP="00245A2D">
      <w:pPr>
        <w:pStyle w:val="ListParagraph"/>
        <w:numPr>
          <w:ilvl w:val="0"/>
          <w:numId w:val="1"/>
        </w:numPr>
        <w:spacing w:after="120" w:line="240" w:lineRule="auto"/>
        <w:jc w:val="both"/>
      </w:pPr>
      <w:r>
        <w:t>Komite Pemantau Legislatif (Kopel)</w:t>
      </w:r>
    </w:p>
    <w:p w14:paraId="3C6FCDD3" w14:textId="77777777" w:rsidR="00245A2D" w:rsidRDefault="00245A2D" w:rsidP="00245A2D">
      <w:pPr>
        <w:spacing w:after="120" w:line="240" w:lineRule="auto"/>
        <w:jc w:val="both"/>
        <w:rPr>
          <w:b/>
          <w:bCs/>
        </w:rPr>
      </w:pPr>
    </w:p>
    <w:p w14:paraId="5DF882A9" w14:textId="116074DC" w:rsidR="00BF4971" w:rsidRPr="002D2D73" w:rsidRDefault="00BF4971" w:rsidP="00245A2D">
      <w:pPr>
        <w:spacing w:after="120" w:line="240" w:lineRule="auto"/>
        <w:jc w:val="both"/>
        <w:rPr>
          <w:b/>
          <w:bCs/>
        </w:rPr>
      </w:pPr>
      <w:r w:rsidRPr="002D2D73">
        <w:rPr>
          <w:b/>
          <w:bCs/>
        </w:rPr>
        <w:lastRenderedPageBreak/>
        <w:t>Moderator:</w:t>
      </w:r>
    </w:p>
    <w:p w14:paraId="15734FCD" w14:textId="3FE45502" w:rsidR="00BF4971" w:rsidRDefault="007146A1" w:rsidP="00245A2D">
      <w:pPr>
        <w:spacing w:after="120" w:line="240" w:lineRule="auto"/>
        <w:jc w:val="both"/>
      </w:pPr>
      <w:r>
        <w:t>Perludem/KOPEL</w:t>
      </w:r>
    </w:p>
    <w:p w14:paraId="288272A2" w14:textId="77777777" w:rsidR="006D01C1" w:rsidRDefault="006D01C1" w:rsidP="00245A2D">
      <w:pPr>
        <w:spacing w:after="120" w:line="240" w:lineRule="auto"/>
        <w:jc w:val="both"/>
      </w:pPr>
    </w:p>
    <w:p w14:paraId="6394DDAE" w14:textId="37ABFCB4" w:rsidR="00B93134" w:rsidRPr="00B93134" w:rsidRDefault="00B93134" w:rsidP="00245A2D">
      <w:pPr>
        <w:spacing w:after="120" w:line="240" w:lineRule="auto"/>
        <w:jc w:val="both"/>
        <w:rPr>
          <w:b/>
          <w:bCs/>
        </w:rPr>
      </w:pPr>
      <w:r w:rsidRPr="00B93134">
        <w:rPr>
          <w:b/>
          <w:bCs/>
        </w:rPr>
        <w:t xml:space="preserve">Susunan </w:t>
      </w:r>
      <w:r>
        <w:rPr>
          <w:b/>
          <w:bCs/>
        </w:rPr>
        <w:t xml:space="preserve">dan Rincian </w:t>
      </w:r>
      <w:r w:rsidRPr="00B93134">
        <w:rPr>
          <w:b/>
          <w:bCs/>
        </w:rPr>
        <w:t>Acara</w:t>
      </w:r>
    </w:p>
    <w:tbl>
      <w:tblPr>
        <w:tblStyle w:val="TableGrid"/>
        <w:tblW w:w="0" w:type="auto"/>
        <w:tblLook w:val="04A0" w:firstRow="1" w:lastRow="0" w:firstColumn="1" w:lastColumn="0" w:noHBand="0" w:noVBand="1"/>
      </w:tblPr>
      <w:tblGrid>
        <w:gridCol w:w="480"/>
        <w:gridCol w:w="5565"/>
        <w:gridCol w:w="2971"/>
      </w:tblGrid>
      <w:tr w:rsidR="00B93134" w14:paraId="1C1C5CA1" w14:textId="77777777" w:rsidTr="00B93134">
        <w:tc>
          <w:tcPr>
            <w:tcW w:w="392" w:type="dxa"/>
          </w:tcPr>
          <w:p w14:paraId="71EB808A" w14:textId="3D12239B" w:rsidR="00B93134" w:rsidRPr="00B93134" w:rsidRDefault="00B93134" w:rsidP="00245A2D">
            <w:pPr>
              <w:jc w:val="center"/>
              <w:rPr>
                <w:b/>
                <w:bCs/>
              </w:rPr>
            </w:pPr>
            <w:r w:rsidRPr="00B93134">
              <w:rPr>
                <w:b/>
                <w:bCs/>
              </w:rPr>
              <w:t>No</w:t>
            </w:r>
          </w:p>
        </w:tc>
        <w:tc>
          <w:tcPr>
            <w:tcW w:w="5769" w:type="dxa"/>
          </w:tcPr>
          <w:p w14:paraId="72AF30E1" w14:textId="71FA2D00" w:rsidR="00B93134" w:rsidRPr="00B93134" w:rsidRDefault="00B93134" w:rsidP="00245A2D">
            <w:pPr>
              <w:jc w:val="center"/>
              <w:rPr>
                <w:b/>
                <w:bCs/>
              </w:rPr>
            </w:pPr>
            <w:r w:rsidRPr="00B93134">
              <w:rPr>
                <w:b/>
                <w:bCs/>
              </w:rPr>
              <w:t>Sub Acara</w:t>
            </w:r>
          </w:p>
        </w:tc>
        <w:tc>
          <w:tcPr>
            <w:tcW w:w="3081" w:type="dxa"/>
          </w:tcPr>
          <w:p w14:paraId="45F32698" w14:textId="395F6C05" w:rsidR="00B93134" w:rsidRPr="00B93134" w:rsidRDefault="00B93134" w:rsidP="00245A2D">
            <w:pPr>
              <w:jc w:val="center"/>
              <w:rPr>
                <w:b/>
                <w:bCs/>
              </w:rPr>
            </w:pPr>
            <w:r w:rsidRPr="00B93134">
              <w:rPr>
                <w:b/>
                <w:bCs/>
              </w:rPr>
              <w:t>Waktu</w:t>
            </w:r>
          </w:p>
        </w:tc>
      </w:tr>
      <w:tr w:rsidR="00B93134" w14:paraId="770B0E2B" w14:textId="77777777" w:rsidTr="00B93134">
        <w:tc>
          <w:tcPr>
            <w:tcW w:w="392" w:type="dxa"/>
          </w:tcPr>
          <w:p w14:paraId="071A43F0" w14:textId="1CBFBE48" w:rsidR="00B93134" w:rsidRDefault="00B93134" w:rsidP="00245A2D">
            <w:pPr>
              <w:jc w:val="both"/>
            </w:pPr>
            <w:r>
              <w:t>1</w:t>
            </w:r>
          </w:p>
        </w:tc>
        <w:tc>
          <w:tcPr>
            <w:tcW w:w="5769" w:type="dxa"/>
          </w:tcPr>
          <w:p w14:paraId="15AD118D" w14:textId="59EB3AA9" w:rsidR="00B93134" w:rsidRDefault="00B93134" w:rsidP="00245A2D">
            <w:pPr>
              <w:jc w:val="both"/>
            </w:pPr>
            <w:r>
              <w:t>Pembukaan dan Sambutan</w:t>
            </w:r>
            <w:r w:rsidR="00245A2D">
              <w:t xml:space="preserve"> (Sekretariat OGI)</w:t>
            </w:r>
          </w:p>
        </w:tc>
        <w:tc>
          <w:tcPr>
            <w:tcW w:w="3081" w:type="dxa"/>
          </w:tcPr>
          <w:p w14:paraId="2B870D04" w14:textId="5DD03D51" w:rsidR="00B93134" w:rsidRDefault="00B93134" w:rsidP="00245A2D">
            <w:pPr>
              <w:jc w:val="both"/>
            </w:pPr>
            <w:r>
              <w:t>09.30-09.35</w:t>
            </w:r>
          </w:p>
        </w:tc>
      </w:tr>
      <w:tr w:rsidR="00B93134" w14:paraId="37C485F0" w14:textId="77777777" w:rsidTr="00B93134">
        <w:tc>
          <w:tcPr>
            <w:tcW w:w="392" w:type="dxa"/>
          </w:tcPr>
          <w:p w14:paraId="5AC0B8BF" w14:textId="5BDD69DA" w:rsidR="00B93134" w:rsidRDefault="00B93134" w:rsidP="00245A2D">
            <w:pPr>
              <w:jc w:val="both"/>
            </w:pPr>
            <w:r>
              <w:t>2</w:t>
            </w:r>
          </w:p>
        </w:tc>
        <w:tc>
          <w:tcPr>
            <w:tcW w:w="5769" w:type="dxa"/>
          </w:tcPr>
          <w:p w14:paraId="2E7C62AF" w14:textId="2150C65A" w:rsidR="00B93134" w:rsidRDefault="00B93134" w:rsidP="00245A2D">
            <w:pPr>
              <w:jc w:val="both"/>
            </w:pPr>
            <w:r>
              <w:t>Pengantar Moderator</w:t>
            </w:r>
            <w:r w:rsidR="00245A2D">
              <w:t xml:space="preserve"> (Bappenas)</w:t>
            </w:r>
          </w:p>
        </w:tc>
        <w:tc>
          <w:tcPr>
            <w:tcW w:w="3081" w:type="dxa"/>
          </w:tcPr>
          <w:p w14:paraId="74E2B19B" w14:textId="0B9C5630" w:rsidR="00B93134" w:rsidRDefault="00B93134" w:rsidP="00245A2D">
            <w:pPr>
              <w:jc w:val="both"/>
            </w:pPr>
            <w:r>
              <w:t>09.35-09.40</w:t>
            </w:r>
          </w:p>
        </w:tc>
      </w:tr>
      <w:tr w:rsidR="00B93134" w14:paraId="7F3B99BE" w14:textId="77777777" w:rsidTr="00B93134">
        <w:tc>
          <w:tcPr>
            <w:tcW w:w="392" w:type="dxa"/>
          </w:tcPr>
          <w:p w14:paraId="67334586" w14:textId="1465C2E3" w:rsidR="00B93134" w:rsidRDefault="00B93134" w:rsidP="00245A2D">
            <w:pPr>
              <w:jc w:val="both"/>
            </w:pPr>
            <w:r>
              <w:t>3</w:t>
            </w:r>
          </w:p>
        </w:tc>
        <w:tc>
          <w:tcPr>
            <w:tcW w:w="5769" w:type="dxa"/>
          </w:tcPr>
          <w:p w14:paraId="61EFAC1F" w14:textId="4AD29F78" w:rsidR="00B93134" w:rsidRDefault="00B93134" w:rsidP="00245A2D">
            <w:pPr>
              <w:jc w:val="both"/>
            </w:pPr>
            <w:r>
              <w:t>Pemaparan Ketua/Anggota KPU</w:t>
            </w:r>
          </w:p>
          <w:p w14:paraId="34FF1267" w14:textId="4C7D0B62" w:rsidR="00B93134" w:rsidRDefault="00B93134" w:rsidP="00245A2D">
            <w:pPr>
              <w:jc w:val="both"/>
            </w:pPr>
            <w:r>
              <w:t>Open Government Pilkada 2024 melalui Sistem Informasi Pemilu</w:t>
            </w:r>
          </w:p>
        </w:tc>
        <w:tc>
          <w:tcPr>
            <w:tcW w:w="3081" w:type="dxa"/>
          </w:tcPr>
          <w:p w14:paraId="3871C266" w14:textId="658BA10B" w:rsidR="00B93134" w:rsidRDefault="00B93134" w:rsidP="00245A2D">
            <w:pPr>
              <w:jc w:val="both"/>
            </w:pPr>
            <w:r>
              <w:t>09.40-09.55</w:t>
            </w:r>
          </w:p>
        </w:tc>
      </w:tr>
      <w:tr w:rsidR="00B93134" w14:paraId="7E2C586B" w14:textId="77777777" w:rsidTr="00B93134">
        <w:tc>
          <w:tcPr>
            <w:tcW w:w="392" w:type="dxa"/>
          </w:tcPr>
          <w:p w14:paraId="6CDC3328" w14:textId="0D3CA420" w:rsidR="00B93134" w:rsidRDefault="00B93134" w:rsidP="00245A2D">
            <w:pPr>
              <w:jc w:val="both"/>
            </w:pPr>
            <w:r>
              <w:t>4</w:t>
            </w:r>
          </w:p>
        </w:tc>
        <w:tc>
          <w:tcPr>
            <w:tcW w:w="5769" w:type="dxa"/>
          </w:tcPr>
          <w:p w14:paraId="25096584" w14:textId="2CEB91B2" w:rsidR="00B93134" w:rsidRDefault="00B93134" w:rsidP="00245A2D">
            <w:pPr>
              <w:jc w:val="both"/>
            </w:pPr>
            <w:r>
              <w:t>Pemaparan Ketua/Anggota Bawaslu</w:t>
            </w:r>
          </w:p>
          <w:p w14:paraId="56A366F0" w14:textId="398F3653" w:rsidR="00B93134" w:rsidRDefault="00B93134" w:rsidP="00245A2D">
            <w:pPr>
              <w:jc w:val="both"/>
            </w:pPr>
            <w:r>
              <w:t xml:space="preserve">Pengawasan Pilkada 2024 dan Keterbukaan Informasi Hasil Pengawasan  </w:t>
            </w:r>
          </w:p>
        </w:tc>
        <w:tc>
          <w:tcPr>
            <w:tcW w:w="3081" w:type="dxa"/>
          </w:tcPr>
          <w:p w14:paraId="55B0E41F" w14:textId="7B4171CE" w:rsidR="00B93134" w:rsidRDefault="00B93134" w:rsidP="00245A2D">
            <w:pPr>
              <w:jc w:val="both"/>
            </w:pPr>
            <w:r>
              <w:t>09.55-10</w:t>
            </w:r>
            <w:r w:rsidR="00BA4B9F">
              <w:t>.10</w:t>
            </w:r>
          </w:p>
        </w:tc>
      </w:tr>
      <w:tr w:rsidR="00B93134" w14:paraId="31F73CFD" w14:textId="77777777" w:rsidTr="00B93134">
        <w:tc>
          <w:tcPr>
            <w:tcW w:w="392" w:type="dxa"/>
          </w:tcPr>
          <w:p w14:paraId="1D15C204" w14:textId="4623E512" w:rsidR="00B93134" w:rsidRDefault="00B93134" w:rsidP="00245A2D">
            <w:pPr>
              <w:jc w:val="both"/>
            </w:pPr>
            <w:r>
              <w:t>5</w:t>
            </w:r>
          </w:p>
        </w:tc>
        <w:tc>
          <w:tcPr>
            <w:tcW w:w="5769" w:type="dxa"/>
          </w:tcPr>
          <w:p w14:paraId="16BFC235" w14:textId="77777777" w:rsidR="00B93134" w:rsidRDefault="00B93134" w:rsidP="00245A2D">
            <w:pPr>
              <w:jc w:val="both"/>
            </w:pPr>
            <w:r>
              <w:t>Pemaparan Perludem</w:t>
            </w:r>
          </w:p>
          <w:p w14:paraId="66C0DAA2" w14:textId="17B826AA" w:rsidR="00B93134" w:rsidRDefault="00B93134" w:rsidP="00245A2D">
            <w:pPr>
              <w:jc w:val="both"/>
            </w:pPr>
            <w:r>
              <w:t>Open Government Pilkada 2024 dan Partisipasi Masyarakat Sipil</w:t>
            </w:r>
          </w:p>
        </w:tc>
        <w:tc>
          <w:tcPr>
            <w:tcW w:w="3081" w:type="dxa"/>
          </w:tcPr>
          <w:p w14:paraId="0F906820" w14:textId="5E32A071" w:rsidR="00B93134" w:rsidRDefault="00BA4B9F" w:rsidP="00245A2D">
            <w:pPr>
              <w:jc w:val="both"/>
            </w:pPr>
            <w:r>
              <w:t>10.10-10.25</w:t>
            </w:r>
          </w:p>
        </w:tc>
      </w:tr>
      <w:tr w:rsidR="00B93134" w14:paraId="712786A8" w14:textId="77777777" w:rsidTr="00B93134">
        <w:tc>
          <w:tcPr>
            <w:tcW w:w="392" w:type="dxa"/>
          </w:tcPr>
          <w:p w14:paraId="4A44FDDA" w14:textId="291922C8" w:rsidR="00B93134" w:rsidRDefault="00B93134" w:rsidP="00245A2D">
            <w:pPr>
              <w:jc w:val="both"/>
            </w:pPr>
            <w:r>
              <w:t>6</w:t>
            </w:r>
          </w:p>
        </w:tc>
        <w:tc>
          <w:tcPr>
            <w:tcW w:w="5769" w:type="dxa"/>
          </w:tcPr>
          <w:p w14:paraId="6CC3F470" w14:textId="77777777" w:rsidR="00B93134" w:rsidRDefault="00B93134" w:rsidP="00245A2D">
            <w:pPr>
              <w:jc w:val="both"/>
            </w:pPr>
            <w:r>
              <w:t>Pemaparan Kopel</w:t>
            </w:r>
          </w:p>
          <w:p w14:paraId="53CB6B7C" w14:textId="7605C0FD" w:rsidR="00B93134" w:rsidRDefault="00B93134" w:rsidP="00245A2D">
            <w:pPr>
              <w:jc w:val="both"/>
            </w:pPr>
            <w:r>
              <w:t xml:space="preserve">Open Government Pilkada 2024 melalui Pengawasan Partisipatif </w:t>
            </w:r>
          </w:p>
        </w:tc>
        <w:tc>
          <w:tcPr>
            <w:tcW w:w="3081" w:type="dxa"/>
          </w:tcPr>
          <w:p w14:paraId="468A04D2" w14:textId="77777777" w:rsidR="00B93134" w:rsidRDefault="00BA4B9F" w:rsidP="00245A2D">
            <w:pPr>
              <w:jc w:val="both"/>
            </w:pPr>
            <w:r>
              <w:t>10.25-10.40</w:t>
            </w:r>
          </w:p>
          <w:p w14:paraId="3DE76557" w14:textId="51CFF032" w:rsidR="00BA4B9F" w:rsidRDefault="00BA4B9F" w:rsidP="00245A2D">
            <w:pPr>
              <w:jc w:val="both"/>
            </w:pPr>
          </w:p>
        </w:tc>
      </w:tr>
      <w:tr w:rsidR="00BA4B9F" w14:paraId="0B0AEE9D" w14:textId="77777777" w:rsidTr="00B93134">
        <w:tc>
          <w:tcPr>
            <w:tcW w:w="392" w:type="dxa"/>
          </w:tcPr>
          <w:p w14:paraId="1B06EE65" w14:textId="3D70A772" w:rsidR="00BA4B9F" w:rsidRDefault="00BA4B9F" w:rsidP="00245A2D">
            <w:pPr>
              <w:jc w:val="both"/>
            </w:pPr>
            <w:r>
              <w:t>7</w:t>
            </w:r>
          </w:p>
        </w:tc>
        <w:tc>
          <w:tcPr>
            <w:tcW w:w="5769" w:type="dxa"/>
          </w:tcPr>
          <w:p w14:paraId="73F45AA0" w14:textId="7D788E50" w:rsidR="00BA4B9F" w:rsidRDefault="00BA4B9F" w:rsidP="00245A2D">
            <w:pPr>
              <w:jc w:val="both"/>
            </w:pPr>
            <w:r>
              <w:t>Diskusi dan Tanya-Jawab</w:t>
            </w:r>
          </w:p>
        </w:tc>
        <w:tc>
          <w:tcPr>
            <w:tcW w:w="3081" w:type="dxa"/>
          </w:tcPr>
          <w:p w14:paraId="0045A656" w14:textId="210E12B9" w:rsidR="00BA4B9F" w:rsidRDefault="00BA4B9F" w:rsidP="00245A2D">
            <w:pPr>
              <w:jc w:val="both"/>
            </w:pPr>
            <w:r>
              <w:t>10.40-12.00</w:t>
            </w:r>
          </w:p>
        </w:tc>
      </w:tr>
    </w:tbl>
    <w:p w14:paraId="47875EA8" w14:textId="3874DA39" w:rsidR="006D01C1" w:rsidRDefault="006D01C1" w:rsidP="00245A2D">
      <w:pPr>
        <w:spacing w:after="120" w:line="240" w:lineRule="auto"/>
        <w:jc w:val="both"/>
      </w:pPr>
    </w:p>
    <w:p w14:paraId="75E493B2" w14:textId="5D030F72" w:rsidR="007146A1" w:rsidRDefault="007146A1" w:rsidP="00245A2D">
      <w:pPr>
        <w:spacing w:after="120" w:line="240" w:lineRule="auto"/>
        <w:jc w:val="both"/>
      </w:pPr>
    </w:p>
    <w:p w14:paraId="597464F3" w14:textId="77777777" w:rsidR="007146A1" w:rsidRDefault="007146A1" w:rsidP="00245A2D">
      <w:pPr>
        <w:spacing w:after="120" w:line="240" w:lineRule="auto"/>
        <w:jc w:val="both"/>
      </w:pPr>
    </w:p>
    <w:sectPr w:rsidR="007146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855C1"/>
    <w:multiLevelType w:val="hybridMultilevel"/>
    <w:tmpl w:val="31D87D0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973"/>
    <w:rsid w:val="000A526A"/>
    <w:rsid w:val="000D4F12"/>
    <w:rsid w:val="00245A2D"/>
    <w:rsid w:val="002D2D73"/>
    <w:rsid w:val="004814FE"/>
    <w:rsid w:val="004E0973"/>
    <w:rsid w:val="005627A2"/>
    <w:rsid w:val="006D01C1"/>
    <w:rsid w:val="006F4E33"/>
    <w:rsid w:val="007146A1"/>
    <w:rsid w:val="00813FF5"/>
    <w:rsid w:val="00B501F3"/>
    <w:rsid w:val="00B93134"/>
    <w:rsid w:val="00BA4B9F"/>
    <w:rsid w:val="00BF2186"/>
    <w:rsid w:val="00BF4971"/>
    <w:rsid w:val="00DA72FA"/>
    <w:rsid w:val="00F254C7"/>
  </w:rsids>
  <m:mathPr>
    <m:mathFont m:val="Cambria Math"/>
    <m:brkBin m:val="before"/>
    <m:brkBinSub m:val="--"/>
    <m:smallFrac m:val="0"/>
    <m:dispDef/>
    <m:lMargin m:val="0"/>
    <m:rMargin m:val="0"/>
    <m:defJc m:val="centerGroup"/>
    <m:wrapIndent m:val="1440"/>
    <m:intLim m:val="subSup"/>
    <m:naryLim m:val="undOvr"/>
  </m:mathPr>
  <w:themeFontLang w:val="en-ID"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F9AFD"/>
  <w15:chartTrackingRefBased/>
  <w15:docId w15:val="{8A19E8A2-AC09-4A1A-AB7A-4E9988E29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lang w:val="en-ID"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3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5A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480</Words>
  <Characters>2737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 Toriana</dc:creator>
  <cp:keywords/>
  <dc:description/>
  <cp:lastModifiedBy>yumnathebest4@gmail.com</cp:lastModifiedBy>
  <cp:revision>3</cp:revision>
  <dcterms:created xsi:type="dcterms:W3CDTF">2024-05-14T06:49:00Z</dcterms:created>
  <dcterms:modified xsi:type="dcterms:W3CDTF">2024-05-14T12:39:00Z</dcterms:modified>
</cp:coreProperties>
</file>